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ПОЛОЖЕНИЕ О КОНКУРСЕ</w:t>
      </w:r>
    </w:p>
    <w:p>
      <w:pPr>
        <w:pStyle w:val="Title"/>
      </w:pPr>
      <w:r>
        <w:t>ЭФФЕКТИВНОСТЬ И УСТОЙЧИВОЕ РАЗВИТИЕ 2027</w:t>
      </w:r>
    </w:p>
    <w:p>
      <w:pPr>
        <w:pStyle w:val="Subtitle"/>
      </w:pPr>
      <w:r>
        <w:t>Всероссийский конкурс лучших управленческих практик в сфере образования</w:t>
      </w:r>
    </w:p>
    <w:p>
      <w:pPr>
        <w:pStyle w:val="Heading1"/>
      </w:pPr>
      <w:r>
        <w:t>ФОРУМ «ОБРАЗОВАНИЕ 2027»</w:t>
      </w:r>
    </w:p>
    <w:p>
      <w:r>
        <w:t>Москва, 2026</w:t>
      </w:r>
    </w:p>
    <w:p>
      <w:pPr>
        <w:sectPr>
          <w:headerReference w:type="default" r:id="rId9"/>
          <w:footerReference w:type="default" r:id="rId10"/>
          <w:pgSz w:w="11906" w:h="16838"/>
          <w:pgMar w:top="1020" w:right="1020" w:bottom="1020" w:left="1020" w:header="720" w:footer="720" w:gutter="0"/>
          <w:cols w:space="720"/>
          <w:docGrid w:linePitch="360"/>
        </w:sectPr>
      </w:pPr>
    </w:p>
    <w:p>
      <w:pPr>
        <w:pStyle w:val="Heading1"/>
      </w:pPr>
      <w:r>
        <w:t>I. ОБЩИЕ ПОЛОЖЕНИЯ</w:t>
      </w:r>
    </w:p>
    <w:p>
      <w:pPr>
        <w:widowControl/>
      </w:pPr>
      <w:r>
        <w:t>Конкурс лучших управленческих практик в сфере образования «Эффективность и устойчивое развитие 2027» проводится в рамках XI Всероссийского практического форума «Образование 2027».</w:t>
      </w:r>
    </w:p>
    <w:p>
      <w:pPr>
        <w:widowControl/>
      </w:pPr>
      <w:r>
        <w:t>Конкурс является прежде всего конкурсом управленческих практик. Предмет оценки — реализованные решения руководителя и команды образовательной организации: постановка задачи, принятие решений, распределение ответственности и ресурсов, организация работы, управление изменениями и оценка достигнутого результата.</w:t>
      </w:r>
    </w:p>
    <w:p>
      <w:pPr>
        <w:widowControl/>
      </w:pPr>
      <w:r>
        <w:t>Конкурс имеет практическую направленность и нацелен на:</w:t>
      </w:r>
    </w:p>
    <w:p>
      <w:pPr>
        <w:widowControl/>
        <w:ind w:left="170" w:hanging="170"/>
      </w:pPr>
      <w:r>
        <w:t>• выявление и поддержку лучших управленческих решений в образовании;</w:t>
      </w:r>
    </w:p>
    <w:p>
      <w:pPr>
        <w:widowControl/>
        <w:ind w:left="170" w:hanging="170"/>
      </w:pPr>
      <w:r>
        <w:t>• формирование базы тиражируемых моделей, применимых в образовательных организациях всех уровней;</w:t>
      </w:r>
    </w:p>
    <w:p>
      <w:pPr>
        <w:widowControl/>
        <w:ind w:left="170" w:hanging="170"/>
      </w:pPr>
      <w:r>
        <w:t>• стимулирование внедрения цифровых, инновационных и управленческих техник;</w:t>
      </w:r>
    </w:p>
    <w:p>
      <w:pPr>
        <w:widowControl/>
        <w:ind w:left="170" w:hanging="170"/>
      </w:pPr>
      <w:r>
        <w:t>• развитие устойчивой системы обмена практиками;</w:t>
      </w:r>
    </w:p>
    <w:p>
      <w:pPr>
        <w:widowControl/>
        <w:ind w:left="170" w:hanging="170"/>
      </w:pPr>
      <w:r>
        <w:t>• вовлечение органов власти, профессиональных сообществ и бизнеса в развитие образования.</w:t>
      </w:r>
    </w:p>
    <w:p>
      <w:pPr>
        <w:pStyle w:val="Heading1"/>
      </w:pPr>
      <w:r>
        <w:t>II. ЦЕЛИ И ЗАДАЧИ</w:t>
      </w:r>
    </w:p>
    <w:p>
      <w:pPr>
        <w:widowControl/>
        <w:ind w:left="170" w:hanging="170"/>
      </w:pPr>
      <w:r>
        <w:t>• Повышение качества управления образовательными организациями.</w:t>
      </w:r>
    </w:p>
    <w:p>
      <w:pPr>
        <w:widowControl/>
        <w:ind w:left="170" w:hanging="170"/>
      </w:pPr>
      <w:r>
        <w:t>• Продвижение управленческих инноваций и цифровых решений.</w:t>
      </w:r>
    </w:p>
    <w:p>
      <w:pPr>
        <w:widowControl/>
        <w:ind w:left="170" w:hanging="170"/>
      </w:pPr>
      <w:r>
        <w:t>• Тиражирование успешных управленческих практик по всей стране.</w:t>
      </w:r>
    </w:p>
    <w:p>
      <w:pPr>
        <w:widowControl/>
        <w:ind w:left="170" w:hanging="170"/>
      </w:pPr>
      <w:r>
        <w:t>• Формирование профессионального сообщества лидеров в сфере образования.</w:t>
      </w:r>
    </w:p>
    <w:p>
      <w:pPr>
        <w:widowControl/>
        <w:ind w:left="170" w:hanging="170"/>
      </w:pPr>
      <w:r>
        <w:t>• Укрепление воспитательной и социальной эффективности системы образования.</w:t>
      </w:r>
    </w:p>
    <w:p>
      <w:pPr>
        <w:pStyle w:val="Heading1"/>
      </w:pPr>
      <w:r>
        <w:t>III. НОМИНАЦИИ КОНКУРСА</w:t>
      </w:r>
    </w:p>
    <w:p>
      <w:pPr>
        <w:widowControl/>
      </w:pPr>
      <w:r>
        <w:t>Перечень номинаций утверждается Оргкомитетом. В 2027 году включаются следующие номинации:</w:t>
      </w:r>
    </w:p>
    <w:p>
      <w:pPr>
        <w:widowControl/>
        <w:ind w:left="170" w:hanging="170"/>
      </w:pPr>
      <w:r>
        <w:t>1. Лучший руководитель образовательной организации — управленец, обеспечивший стратегическое развитие и внедрение инноваций.</w:t>
      </w:r>
    </w:p>
    <w:p>
      <w:pPr>
        <w:widowControl/>
        <w:ind w:left="170" w:hanging="170"/>
      </w:pPr>
      <w:r>
        <w:t>2. Лучшая управленческая команда — коллектив руководителей, достигший системных результатов благодаря согласованной работе.</w:t>
      </w:r>
    </w:p>
    <w:p>
      <w:pPr>
        <w:widowControl/>
        <w:ind w:left="170" w:hanging="170"/>
      </w:pPr>
      <w:r>
        <w:t>3. Выдающаяся программа наставничества — комплексные практики поддержки кадров и передачи опыта.</w:t>
      </w:r>
    </w:p>
    <w:p>
      <w:pPr>
        <w:widowControl/>
        <w:ind w:left="170" w:hanging="170"/>
      </w:pPr>
      <w:r>
        <w:t>4. Профессиональное управление проектами — внедрение проектных методов управления изменениями и развитием.</w:t>
      </w:r>
    </w:p>
    <w:p>
      <w:pPr>
        <w:widowControl/>
        <w:ind w:left="170" w:hanging="170"/>
      </w:pPr>
      <w:r>
        <w:t>5. Эффективный финансовый менеджмент — устойчивые решения в области финансовой прозрачности и управления ресурсами.</w:t>
      </w:r>
    </w:p>
    <w:p>
      <w:pPr>
        <w:widowControl/>
        <w:ind w:left="170" w:hanging="170"/>
      </w:pPr>
      <w:r>
        <w:t>6. Цифровая трансформация образования — проекты по внедрению современных цифровых технологий в управление и обучение.</w:t>
      </w:r>
    </w:p>
    <w:p>
      <w:pPr>
        <w:widowControl/>
        <w:ind w:left="170" w:hanging="170"/>
      </w:pPr>
      <w:r>
        <w:t>7. Использование искусственного интеллекта в образовании — управленческие решения и практики внедрения ИИ в обучение, администрирование, оценку качества образования и поддержку педагогов.</w:t>
      </w:r>
    </w:p>
    <w:p>
      <w:pPr>
        <w:widowControl/>
        <w:ind w:left="170" w:hanging="170"/>
      </w:pPr>
      <w:r>
        <w:t>8. Инновационные техники управления — нестандартные управленческие подходы, доказавшие свою эффективность.</w:t>
      </w:r>
    </w:p>
    <w:p>
      <w:pPr>
        <w:widowControl/>
        <w:ind w:left="170" w:hanging="170"/>
      </w:pPr>
      <w:r>
        <w:t>9. Инклюзивное образование и равные возможности — управленческие практики обеспечения доступности образования для всех категорий детей.</w:t>
      </w:r>
    </w:p>
    <w:p>
      <w:pPr>
        <w:widowControl/>
        <w:ind w:left="170" w:hanging="170"/>
      </w:pPr>
      <w:r>
        <w:t>10. Развитие воспитательной системы — проекты, направленные на формирование ценностей и поддержку талантов.</w:t>
      </w:r>
    </w:p>
    <w:p>
      <w:pPr>
        <w:widowControl/>
        <w:ind w:left="170" w:hanging="170"/>
      </w:pPr>
      <w:r>
        <w:t>11. Духовно-нравственное и патриотическое воспитание — программы по гражданскому и патриотическому развитию.</w:t>
      </w:r>
    </w:p>
    <w:p>
      <w:pPr>
        <w:widowControl/>
        <w:ind w:left="170" w:hanging="170"/>
      </w:pPr>
      <w:r>
        <w:t>12. Социальное партнёрство в образовании — взаимодействие школ, колледжей, вузов с НКО, бизнесом, сообществами.</w:t>
      </w:r>
    </w:p>
    <w:p>
      <w:pPr>
        <w:widowControl/>
        <w:ind w:left="170" w:hanging="170"/>
      </w:pPr>
      <w:r>
        <w:t>13. Практика межрегионального сотрудничества — управленческие проекты, объединяющие усилия нескольких регионов.</w:t>
      </w:r>
    </w:p>
    <w:p>
      <w:pPr>
        <w:widowControl/>
        <w:ind w:left="170" w:hanging="170"/>
      </w:pPr>
      <w:r>
        <w:t>14. Совершенствование образовательной инфраструктуры — модернизация школ, вузов и колледжей, тиражируемые инфраструктурные решения.</w:t>
      </w:r>
    </w:p>
    <w:p>
      <w:pPr>
        <w:widowControl/>
        <w:ind w:left="170" w:hanging="170"/>
      </w:pPr>
      <w:r>
        <w:t>15. Здоровье и безопасность образовательной среды — управленческие практики сохранения здоровья и формирования безопасной среды.</w:t>
      </w:r>
    </w:p>
    <w:p>
      <w:pPr>
        <w:widowControl/>
        <w:ind w:left="170" w:hanging="170"/>
      </w:pPr>
      <w:r>
        <w:t>16. Профориентация и взаимодействие с работодателями — проекты по подготовке кадров и развитию сотрудничества с бизнесом.</w:t>
      </w:r>
    </w:p>
    <w:p>
      <w:pPr>
        <w:widowControl/>
        <w:ind w:left="170" w:hanging="170"/>
      </w:pPr>
      <w:r>
        <w:t>17. Инновации в организации научной и исследовательской работы студентов — управленческие модели вовлечения учащихся в науку.</w:t>
      </w:r>
    </w:p>
    <w:p>
      <w:pPr>
        <w:widowControl/>
        <w:ind w:left="170" w:hanging="170"/>
      </w:pPr>
      <w:r>
        <w:t>18. Непрерывное образование и Life-long learning — практики поддержки обучения на протяжении всей жизни.</w:t>
      </w:r>
    </w:p>
    <w:p>
      <w:pPr>
        <w:widowControl/>
        <w:ind w:left="170" w:hanging="170"/>
      </w:pPr>
      <w:r>
        <w:t>19. Экологическое лидерство в образовании — управленческие проекты по внедрению принципов устойчивого развития.</w:t>
      </w:r>
    </w:p>
    <w:p>
      <w:pPr>
        <w:widowControl/>
        <w:ind w:left="170" w:hanging="170"/>
      </w:pPr>
      <w:r>
        <w:t>20. Развитие образовательной аналитики и мониторинга — использование данных и систем анализа для принятия управленческих решений.</w:t>
      </w:r>
    </w:p>
    <w:p>
      <w:pPr>
        <w:widowControl/>
        <w:ind w:left="170" w:hanging="170"/>
      </w:pPr>
      <w:r>
        <w:t>21. Управление развитием педагогических кадров — системные подходы к подготовке, развитию и удержанию педагогов.</w:t>
      </w:r>
    </w:p>
    <w:p>
      <w:pPr>
        <w:widowControl/>
        <w:ind w:left="170" w:hanging="170"/>
      </w:pPr>
      <w:r>
        <w:t>22. Эффективные модели государственно-общественного управления образованием — практики вовлечения родителей и общества в управление школами, колледжами и вузами.</w:t>
      </w:r>
    </w:p>
    <w:p>
      <w:pPr>
        <w:widowControl/>
        <w:ind w:left="170" w:hanging="170"/>
      </w:pPr>
      <w:r>
        <w:t>23. Кадровые резервы и школы управления — проекты, формирующие кадровый потенциал руководителей образования.</w:t>
      </w:r>
    </w:p>
    <w:p>
      <w:pPr>
        <w:pStyle w:val="Heading1"/>
      </w:pPr>
      <w:r>
        <w:t>IV. УЧАСТНИКИ КОНКУРСА</w:t>
      </w:r>
    </w:p>
    <w:p>
      <w:pPr>
        <w:widowControl/>
      </w:pPr>
      <w:r>
        <w:t>В конкурсе участвуют только образовательные организации:</w:t>
      </w:r>
    </w:p>
    <w:p>
      <w:pPr>
        <w:widowControl/>
        <w:ind w:left="170" w:hanging="170"/>
      </w:pPr>
      <w:r>
        <w:t>• образовательные организации всех уровней (дошкольные, школьные, профессиональные, высшие);</w:t>
      </w:r>
    </w:p>
    <w:p>
      <w:pPr>
        <w:widowControl/>
        <w:ind w:left="170" w:hanging="170"/>
      </w:pPr>
      <w:r>
        <w:t>• организации дополнительного образования.</w:t>
      </w:r>
    </w:p>
    <w:p>
      <w:pPr>
        <w:widowControl/>
      </w:pPr>
      <w:r>
        <w:t>Условие участия — регистрация делегата форума «Образование 2027» и подача заявки через личный кабинет. Одна образовательная организация подаёт один проект от одной команды. Подача двух и более проектов от одной организации не допускается.</w:t>
      </w:r>
    </w:p>
    <w:p>
      <w:pPr>
        <w:widowControl/>
      </w:pPr>
      <w:r>
        <w:t>Во всех номинациях участником является образовательная организация. Руководитель и команда представляют её проект; самостоятельные заявки физических лиц, органов власти и поставщиков решений не принимаются.</w:t>
      </w:r>
    </w:p>
    <w:p>
      <w:pPr>
        <w:pStyle w:val="Heading1"/>
      </w:pPr>
      <w:r>
        <w:t>V. ПОРЯДОК И СРОКИ ПРОВЕДЕНИЯ</w:t>
      </w:r>
    </w:p>
    <w:p>
      <w:pPr>
        <w:widowControl/>
        <w:ind w:left="170" w:hanging="170"/>
      </w:pPr>
      <w:r>
        <w:t>• Приём заявок — после открытия регистрации делегатов форума «Образование 2027» через сайт https://eduforumrussia.ru.</w:t>
      </w:r>
    </w:p>
    <w:p>
      <w:pPr>
        <w:widowControl/>
        <w:ind w:left="170" w:hanging="170"/>
      </w:pPr>
      <w:r>
        <w:t>• Сроки приёма проектов определяются Оргкомитетом и публикуются на официальном сайте Конкурса.</w:t>
      </w:r>
    </w:p>
    <w:p>
      <w:pPr>
        <w:widowControl/>
        <w:ind w:left="170" w:hanging="170"/>
      </w:pPr>
      <w:r>
        <w:t>• Финальный этап и церемония награждения: в рамках XI Всероссийского практического форума «Образование 2027», 21–23 апреля 2027 года, Москва. Время проведения публикуется в программе форума.</w:t>
      </w:r>
    </w:p>
    <w:p>
      <w:pPr>
        <w:pStyle w:val="Heading1"/>
      </w:pPr>
      <w:r>
        <w:t>VI. ОРГКОМИТЕТ</w:t>
      </w:r>
    </w:p>
    <w:p>
      <w:pPr>
        <w:widowControl/>
      </w:pPr>
      <w:r>
        <w:t>Оргкомитет:</w:t>
      </w:r>
    </w:p>
    <w:p>
      <w:pPr>
        <w:widowControl/>
        <w:ind w:left="170" w:hanging="170"/>
      </w:pPr>
      <w:r>
        <w:t>• организует проведение конкурса;</w:t>
      </w:r>
    </w:p>
    <w:p>
      <w:pPr>
        <w:widowControl/>
        <w:ind w:left="170" w:hanging="170"/>
      </w:pPr>
      <w:r>
        <w:t>• формирует Экспертную комиссию;</w:t>
      </w:r>
    </w:p>
    <w:p>
      <w:pPr>
        <w:widowControl/>
        <w:ind w:left="170" w:hanging="170"/>
      </w:pPr>
      <w:r>
        <w:t>• утверждает итоги;</w:t>
      </w:r>
    </w:p>
    <w:p>
      <w:pPr>
        <w:widowControl/>
        <w:ind w:left="170" w:hanging="170"/>
      </w:pPr>
      <w:r>
        <w:t>• взаимодействует с участниками через официальный онлайн-центр.</w:t>
      </w:r>
    </w:p>
    <w:p>
      <w:pPr>
        <w:pStyle w:val="Heading1"/>
      </w:pPr>
      <w:r>
        <w:t>VII. ЭКСПЕРТНАЯ КОМИССИЯ</w:t>
      </w:r>
    </w:p>
    <w:p>
      <w:pPr>
        <w:widowControl/>
      </w:pPr>
      <w:r>
        <w:t>Экспертная комиссия включает специалистов в сфере образования, цифровизации, экономики и представителей профессиональных сообществ.</w:t>
      </w:r>
    </w:p>
    <w:p>
      <w:pPr>
        <w:widowControl/>
      </w:pPr>
      <w:r>
        <w:t>Особенности работы:</w:t>
      </w:r>
    </w:p>
    <w:p>
      <w:pPr>
        <w:widowControl/>
        <w:ind w:left="170" w:hanging="170"/>
      </w:pPr>
      <w:r>
        <w:t>• анализ документов и заявок осуществляется с использованием средств нейронной автоматизации;</w:t>
      </w:r>
    </w:p>
    <w:p>
      <w:pPr>
        <w:widowControl/>
        <w:ind w:left="170" w:hanging="170"/>
      </w:pPr>
      <w:r>
        <w:t>• приоритет отдаётся проектам, обладающим управленческой новизной, результативностью и потенциалом тиражирования;</w:t>
      </w:r>
    </w:p>
    <w:p>
      <w:pPr>
        <w:widowControl/>
        <w:ind w:left="170" w:hanging="170"/>
      </w:pPr>
      <w:r>
        <w:t>• комиссия вправе предложить перенос проекта в более подходящую номинацию.</w:t>
      </w:r>
    </w:p>
    <w:p>
      <w:pPr>
        <w:widowControl/>
      </w:pPr>
      <w:r>
        <w:t>Средства автоматизации используются как вспомогательный инструмент. Оценки и итоговые решения принимает Экспертная комиссия (жюри); автоматический анализ не заменяет её решение.</w:t>
      </w:r>
    </w:p>
    <w:p>
      <w:pPr>
        <w:pStyle w:val="Heading1"/>
      </w:pPr>
      <w:r>
        <w:t>VIII. ПОРЯДОК ПРЕДОСТАВЛЕНИЯ ПРОЕКТОВ</w:t>
      </w:r>
    </w:p>
    <w:p>
      <w:pPr>
        <w:widowControl/>
      </w:pPr>
      <w:r>
        <w:t>Участники подают:</w:t>
      </w:r>
    </w:p>
    <w:p>
      <w:pPr>
        <w:widowControl/>
        <w:ind w:left="170" w:hanging="170"/>
      </w:pPr>
      <w:r>
        <w:t>• Презентацию проекта (до 15 слайдов, PDF);</w:t>
      </w:r>
    </w:p>
    <w:p>
      <w:pPr>
        <w:widowControl/>
        <w:ind w:left="170" w:hanging="170"/>
      </w:pPr>
      <w:r>
        <w:t>• Сопроводительное письмо (до 2 страниц, PDF), на официальном бланке организации, адресованное Оргкомитету Конкурса, подписанное руководителем и заверенное печатью.</w:t>
      </w:r>
    </w:p>
    <w:p>
      <w:pPr>
        <w:widowControl/>
      </w:pPr>
      <w:r>
        <w:t>Проект должен показывать конкретную управленческую задачу, действия руководителя и команды, период реализации и подтверждённые результаты. Планы будущих работ, общие описания деятельности и рекламные презентации без реализованной управленческой практики к участию не принимаются.</w:t>
      </w:r>
    </w:p>
    <w:p>
      <w:pPr>
        <w:widowControl/>
      </w:pPr>
      <w:r>
        <w:t>Обязанность предоставления документов, соответствующих требованиям настоящего Положения, возлагается на заявителя.</w:t>
      </w:r>
    </w:p>
    <w:p>
      <w:pPr>
        <w:pStyle w:val="Heading1"/>
      </w:pPr>
      <w:r>
        <w:t>IX. СТРУКТУРА ПРЕЗЕНТАЦИИ</w:t>
      </w:r>
    </w:p>
    <w:p>
      <w:pPr>
        <w:widowControl/>
      </w:pPr>
      <w:r>
        <w:t>Презентация должна соответствовать следующей структуре:</w:t>
      </w:r>
    </w:p>
    <w:p>
      <w:pPr>
        <w:widowControl/>
        <w:ind w:left="170" w:hanging="170"/>
      </w:pPr>
      <w:r>
        <w:t>• визитка организации (1 слайд);</w:t>
      </w:r>
    </w:p>
    <w:p>
      <w:pPr>
        <w:widowControl/>
        <w:ind w:left="170" w:hanging="170"/>
      </w:pPr>
      <w:r>
        <w:t>• исполнитель проекта (1 слайд);</w:t>
      </w:r>
    </w:p>
    <w:p>
      <w:pPr>
        <w:widowControl/>
        <w:ind w:left="170" w:hanging="170"/>
      </w:pPr>
      <w:r>
        <w:t>• предпосылки проекта (2 слайда);</w:t>
      </w:r>
    </w:p>
    <w:p>
      <w:pPr>
        <w:widowControl/>
        <w:ind w:left="170" w:hanging="170"/>
      </w:pPr>
      <w:r>
        <w:t>• календарный план (1 слайд);</w:t>
      </w:r>
    </w:p>
    <w:p>
      <w:pPr>
        <w:widowControl/>
        <w:ind w:left="170" w:hanging="170"/>
      </w:pPr>
      <w:r>
        <w:t>• задействованные ресурсы (2 слайда);</w:t>
      </w:r>
    </w:p>
    <w:p>
      <w:pPr>
        <w:widowControl/>
        <w:ind w:left="170" w:hanging="170"/>
      </w:pPr>
      <w:r>
        <w:t>• преодолённые проблемы (2 слайда);</w:t>
      </w:r>
    </w:p>
    <w:p>
      <w:pPr>
        <w:widowControl/>
        <w:ind w:left="170" w:hanging="170"/>
      </w:pPr>
      <w:r>
        <w:t>• запуск проекта (2 слайда);</w:t>
      </w:r>
    </w:p>
    <w:p>
      <w:pPr>
        <w:widowControl/>
        <w:ind w:left="170" w:hanging="170"/>
      </w:pPr>
      <w:r>
        <w:t>• достигнутые показатели (2 слайда);</w:t>
      </w:r>
    </w:p>
    <w:p>
      <w:pPr>
        <w:widowControl/>
        <w:ind w:left="170" w:hanging="170"/>
      </w:pPr>
      <w:r>
        <w:t>• рекомендации (2 слайда).</w:t>
      </w:r>
    </w:p>
    <w:p>
      <w:pPr>
        <w:pStyle w:val="Heading1"/>
      </w:pPr>
      <w:r>
        <w:t>X. ТРЕБОВАНИЯ И КРИТЕРИИ ОЦЕНКИ</w:t>
      </w:r>
    </w:p>
    <w:p>
      <w:pPr>
        <w:widowControl/>
      </w:pPr>
      <w:r>
        <w:t>Приоритет при оценке отдаётся проектам, которые:</w:t>
      </w:r>
    </w:p>
    <w:p>
      <w:pPr>
        <w:widowControl/>
        <w:ind w:left="170" w:hanging="170"/>
      </w:pPr>
      <w:r>
        <w:t>• реализованы на территории РФ;</w:t>
      </w:r>
    </w:p>
    <w:p>
      <w:pPr>
        <w:widowControl/>
        <w:ind w:left="170" w:hanging="170"/>
      </w:pPr>
      <w:r>
        <w:t>• имеют доказанную результативность и управленческую значимость;</w:t>
      </w:r>
    </w:p>
    <w:p>
      <w:pPr>
        <w:widowControl/>
        <w:ind w:left="170" w:hanging="170"/>
      </w:pPr>
      <w:r>
        <w:t>• демонстрируют инновационность, включая цифровизацию и использование ИИ;</w:t>
      </w:r>
    </w:p>
    <w:p>
      <w:pPr>
        <w:widowControl/>
        <w:ind w:left="170" w:hanging="170"/>
      </w:pPr>
      <w:r>
        <w:t>• обладают социальным эффектом;</w:t>
      </w:r>
    </w:p>
    <w:p>
      <w:pPr>
        <w:widowControl/>
        <w:ind w:left="170" w:hanging="170"/>
      </w:pPr>
      <w:r>
        <w:t>• обладают потенциалом масштабирования.</w:t>
      </w:r>
    </w:p>
    <w:p>
      <w:pPr>
        <w:widowControl/>
      </w:pPr>
      <w:r>
        <w:t>Критерии:</w:t>
      </w:r>
    </w:p>
    <w:p>
      <w:pPr>
        <w:widowControl/>
        <w:ind w:left="170" w:hanging="170"/>
      </w:pPr>
      <w:r>
        <w:t>• завершённость проекта;</w:t>
      </w:r>
    </w:p>
    <w:p>
      <w:pPr>
        <w:widowControl/>
        <w:ind w:left="170" w:hanging="170"/>
      </w:pPr>
      <w:r>
        <w:t>• управленческая новизна;</w:t>
      </w:r>
    </w:p>
    <w:p>
      <w:pPr>
        <w:widowControl/>
        <w:ind w:left="170" w:hanging="170"/>
      </w:pPr>
      <w:r>
        <w:t>• результативность и доказанность эффектов;</w:t>
      </w:r>
    </w:p>
    <w:p>
      <w:pPr>
        <w:widowControl/>
        <w:ind w:left="170" w:hanging="170"/>
      </w:pPr>
      <w:r>
        <w:t>• социальное воздействие;</w:t>
      </w:r>
    </w:p>
    <w:p>
      <w:pPr>
        <w:widowControl/>
        <w:ind w:left="170" w:hanging="170"/>
      </w:pPr>
      <w:r>
        <w:t>• обоснованность затрат;</w:t>
      </w:r>
    </w:p>
    <w:p>
      <w:pPr>
        <w:widowControl/>
        <w:ind w:left="170" w:hanging="170"/>
      </w:pPr>
      <w:r>
        <w:t>• возможность тиражирования.</w:t>
      </w:r>
    </w:p>
    <w:p>
      <w:pPr>
        <w:widowControl/>
      </w:pPr>
      <w:r>
        <w:t>Оценка: по шкале 0–100 баллов.</w:t>
      </w:r>
    </w:p>
    <w:p>
      <w:pPr>
        <w:pStyle w:val="Heading1"/>
      </w:pPr>
      <w:r>
        <w:t>XI. ОСНОВАНИЯ ДЛЯ ОТКЛОНЕНИЯ ПРОЕКТА</w:t>
      </w:r>
    </w:p>
    <w:p>
      <w:pPr>
        <w:widowControl/>
      </w:pPr>
      <w:r>
        <w:t>Проект отклоняется при наличии одного или нескольких оснований:</w:t>
      </w:r>
    </w:p>
    <w:p>
      <w:pPr>
        <w:widowControl/>
        <w:ind w:left="170" w:hanging="170"/>
      </w:pPr>
      <w:r>
        <w:t>• заявитель не является образовательной организацией либо поданы два и более проекта от одной организации;</w:t>
      </w:r>
    </w:p>
    <w:p>
      <w:pPr>
        <w:widowControl/>
        <w:ind w:left="170" w:hanging="170"/>
      </w:pPr>
      <w:r>
        <w:t>• заявка подана после установленного срока;</w:t>
      </w:r>
    </w:p>
    <w:p>
      <w:pPr>
        <w:widowControl/>
        <w:ind w:left="170" w:hanging="170"/>
      </w:pPr>
      <w:r>
        <w:t>• не представлены обязательные документы, предусмотренные разделом VIII, либо файлы повреждены, не открываются или не позволяют прочитать содержание;</w:t>
      </w:r>
    </w:p>
    <w:p>
      <w:pPr>
        <w:widowControl/>
        <w:ind w:left="170" w:hanging="170"/>
      </w:pPr>
      <w:r>
        <w:t>• проект не соответствует тематике конкурса: отсутствует реализованная управленческая практика и не показаны действия руководителя или команды;</w:t>
      </w:r>
    </w:p>
    <w:p>
      <w:pPr>
        <w:widowControl/>
        <w:ind w:left="170" w:hanging="170"/>
      </w:pPr>
      <w:r>
        <w:t>• отсутствуют подтверждённые результаты либо представлены только планы будущей реализации;</w:t>
      </w:r>
    </w:p>
    <w:p>
      <w:pPr>
        <w:widowControl/>
        <w:ind w:left="170" w:hanging="170"/>
      </w:pPr>
      <w:r>
        <w:t>• установлены недостоверность сведений, подмена результатов или присвоение чужой практики;</w:t>
      </w:r>
    </w:p>
    <w:p>
      <w:pPr>
        <w:widowControl/>
        <w:ind w:left="170" w:hanging="170"/>
      </w:pPr>
      <w:r>
        <w:t>• материалы содержат сведения или объекты, использование которых нарушает права третьих лиц или требования законодательства Российской Федерации.</w:t>
      </w:r>
    </w:p>
    <w:p>
      <w:pPr>
        <w:widowControl/>
      </w:pPr>
      <w:r>
        <w:t>Проекты, оформленные с нарушением структуры презентации, установленной разделом IX, или порядка предоставления проектов, установленного разделом VIII, отклоняются без уведомления участника и без предоставления обратной связи.</w:t>
      </w:r>
    </w:p>
    <w:p>
      <w:pPr>
        <w:widowControl/>
      </w:pPr>
      <w:r>
        <w:t>Отклонение по формальным основаниям не является оценкой качества проекта. При отклонении по иным основаниям участнику сообщаются основание отклонения и соответствующий пункт Положения через официальный онлайн-центр.</w:t>
      </w:r>
    </w:p>
    <w:p>
      <w:pPr>
        <w:pStyle w:val="Heading1"/>
      </w:pPr>
      <w:r>
        <w:t>XII. НАГРАЖДЕНИЕ ПОБЕДИТЕЛЕЙ</w:t>
      </w:r>
    </w:p>
    <w:p>
      <w:pPr>
        <w:widowControl/>
        <w:ind w:left="170" w:hanging="170"/>
      </w:pPr>
      <w:r>
        <w:t>• Победители получают дипломы установленного образца.</w:t>
      </w:r>
    </w:p>
    <w:p>
      <w:pPr>
        <w:widowControl/>
        <w:ind w:left="170" w:hanging="170"/>
      </w:pPr>
      <w:r>
        <w:t>• В дипломе указываются: название организации, проект, номинация.</w:t>
      </w:r>
    </w:p>
    <w:p>
      <w:pPr>
        <w:widowControl/>
        <w:ind w:left="170" w:hanging="170"/>
      </w:pPr>
      <w:r>
        <w:t>• Вручение дипломов проводится в рамках XI Форума «Образование 2027».</w:t>
      </w:r>
    </w:p>
    <w:p>
      <w:pPr>
        <w:widowControl/>
        <w:ind w:left="170" w:hanging="170"/>
      </w:pPr>
      <w:r>
        <w:t>• Возможна выставка проектов-победителей.</w:t>
      </w:r>
    </w:p>
    <w:p>
      <w:pPr>
        <w:widowControl/>
        <w:ind w:left="170" w:hanging="170"/>
      </w:pPr>
      <w:r>
        <w:t>• Оргкомитет направляет письма-ходатайства региональным органам власти о поощрении победителей.</w:t>
      </w:r>
    </w:p>
    <w:p>
      <w:pPr>
        <w:widowControl/>
        <w:ind w:left="170" w:hanging="170"/>
      </w:pPr>
      <w:r>
        <w:t>• Финансового эквивалента награда не имеет.</w:t>
      </w:r>
    </w:p>
    <w:p>
      <w:pPr>
        <w:pStyle w:val="Heading1"/>
      </w:pPr>
      <w:r>
        <w:t>XIII. ДОПОЛНИТЕЛЬНЫЕ УСЛОВИЯ</w:t>
      </w:r>
    </w:p>
    <w:p>
      <w:pPr>
        <w:widowControl/>
        <w:ind w:left="170" w:hanging="170"/>
      </w:pPr>
      <w:r>
        <w:t>• Участие означает согласие с настоящим Положением.</w:t>
      </w:r>
    </w:p>
    <w:p>
      <w:pPr>
        <w:widowControl/>
        <w:ind w:left="170" w:hanging="170"/>
      </w:pPr>
      <w:r>
        <w:t>• Все решения Оргкомитета и Экспертной комиссии окончательны.</w:t>
      </w:r>
    </w:p>
    <w:p>
      <w:pPr>
        <w:widowControl/>
        <w:ind w:left="170" w:hanging="170"/>
      </w:pPr>
      <w:r>
        <w:t>• Ответственность за достоверность информации несёт заявитель.</w:t>
      </w:r>
    </w:p>
    <w:p>
      <w:pPr>
        <w:widowControl/>
      </w:pPr>
      <w:r>
        <w:t>Оргкомитет и его сотрудники предоставляют информацию об условиях участия исключительно в объёме, изложенном в настоящем Положении. Индивидуальные консультации по подготовке и содержанию конкурсных проектов, а также дополнительные толкования условий участия не предоставляются.</w:t>
      </w:r>
    </w:p>
    <w:p>
      <w:pPr>
        <w:widowControl/>
      </w:pPr>
      <w:r>
        <w:t>Сотрудники Оргкомитета не уполномочены обсуждать, комментировать или разъяснять оценки, выставленные жюри, основания экспертных решений и результаты сравнения проектов, а также прогнозировать результаты участия. Оценка проектов относится исключительно к компетенции жюри.</w:t>
      </w:r>
    </w:p>
    <w:p>
      <w:pPr>
        <w:widowControl/>
      </w:pPr>
      <w:r>
        <w:t>Техническая помощь по подаче заявки и доступу к личному кабинету, информация о статусе рассмотрения и уведомление о формальном отклонении не являются комментариями к экспертной оценке.</w:t>
      </w:r>
    </w:p>
    <w:p>
      <w:pPr>
        <w:pStyle w:val="Heading1"/>
      </w:pPr>
      <w:r>
        <w:t>XIV. КОНТАКТЫ</w:t>
      </w:r>
    </w:p>
    <w:p>
      <w:pPr>
        <w:widowControl/>
        <w:ind w:left="170" w:hanging="170"/>
      </w:pPr>
      <w:r>
        <w:t>• Официальный онлайн-центр: https://go.conf24.ru</w:t>
      </w:r>
    </w:p>
    <w:p>
      <w:pPr>
        <w:widowControl/>
        <w:ind w:left="170" w:hanging="170"/>
      </w:pPr>
      <w:r>
        <w:t>• Сайт Конкурса: https://eduforumrussia.ru/#contest</w:t>
      </w:r>
    </w:p>
    <w:p>
      <w:pPr>
        <w:widowControl/>
        <w:ind w:left="170" w:hanging="170"/>
      </w:pPr>
      <w:r>
        <w:t>• Личный кабинет участника: https://lk.conf24.ru/portal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454" w:num="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ГОСЭКСПЕРТ.РФ · go.conf24.ru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ФОРУМ «ОБРАЗОВАНИЕ 2027»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spacing w:after="100" w:line="269" w:lineRule="auto"/>
    </w:pPr>
    <w:rPr>
      <w:rFonts w:ascii="PT Sans Narrow" w:hAnsi="PT Sans Narrow"/>
      <w:color w:val="202429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00" w:line="269" w:lineRule="auto"/>
      <w:outlineLvl w:val="0"/>
    </w:pPr>
    <w:rPr>
      <w:rFonts w:asciiTheme="majorHAnsi" w:eastAsiaTheme="majorEastAsia" w:hAnsiTheme="majorHAnsi" w:cstheme="majorBidi" w:ascii="Oswald" w:hAnsi="Oswald"/>
      <w:b/>
      <w:bCs/>
      <w:color w:val="20242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69" w:lineRule="auto"/>
      <w:contextualSpacing/>
    </w:pPr>
    <w:rPr>
      <w:rFonts w:asciiTheme="majorHAnsi" w:eastAsiaTheme="majorEastAsia" w:hAnsiTheme="majorHAnsi" w:cstheme="majorBidi" w:ascii="Oswald" w:hAnsi="Oswald"/>
      <w:color w:val="202429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after="100" w:line="269" w:lineRule="auto"/>
    </w:pPr>
    <w:rPr>
      <w:rFonts w:asciiTheme="majorHAnsi" w:eastAsiaTheme="majorEastAsia" w:hAnsiTheme="majorHAnsi" w:cstheme="majorBidi" w:ascii="PT Sans Narrow" w:hAnsi="PT Sans Narrow"/>
      <w:i/>
      <w:iCs/>
      <w:color w:val="202429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конкурсе «Эффективность и устойчивое развитие 2027»</dc:title>
  <dc:subject/>
  <dc:creator>Оргкомитет форума «Образование 2027»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